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hd w:fill="ffffff" w:val="clear"/>
        <w:spacing w:after="160" w:line="276" w:lineRule="auto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El</w:t>
      </w:r>
      <w:r w:rsidDel="00000000" w:rsidR="00000000" w:rsidRPr="00000000">
        <w:rPr>
          <w:b w:val="1"/>
          <w:bCs w:val="1"/>
          <w:rtl w:val="0"/>
        </w:rPr>
        <w:t xml:space="preserve"> pasado jueves 20 de noviembre presentamos el nuevo informe de tendencias y estilos de vida en Cosentino City Barcelona, un estudio que cartografía las emociones, hábitos y prioridades de cuatro grandes arquetipos que ya están transformando las industrias del diseño, el consumo y el estilo de vida. Lejos de ser etiquetas generacionales simplificadas, estos perfiles abordan desde el diseño de interiores hasta las estrategias de marca. Pepa Casado, co-founder de Futurea, ofreció una lectura profunda y matizada de cómo vivimos y qué esperamos de los espacios que habitamos.</w:t>
      </w:r>
    </w:p>
    <w:p w:rsidR="00000000" w:rsidDel="00000000" w:rsidP="00000000" w:rsidRDefault="00000000" w:rsidRPr="00000000" w14:paraId="00000002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  <w:t xml:space="preserve">The Quiet Rebel es el retrato de la generación Z y los más mayores de la generación Alpha que, lejos de buscar visibilidad constante, optan por una vida más protegida, íntima y controlada. Son digitales, sí, pero críticos con la hiperconectividad. Rechazan el ruido algorítmico y abrazan lo táctil, lo analógico y lo privado. Su estética mezcla lo irónico con lo artesanal, y su espacio clave es la habitación, entendida como refugio sensorial. Para ellos, el diseño debe proteger, no sobreestimular. Optan por productos personalizables, hiperlocales y estéticamente juguetones, pero con fondo: menos postureo, más intención.</w:t>
      </w:r>
    </w:p>
    <w:p w:rsidR="00000000" w:rsidDel="00000000" w:rsidP="00000000" w:rsidRDefault="00000000" w:rsidRPr="00000000" w14:paraId="00000003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  <w:t xml:space="preserve">The Energetic Escapist representa a una generación Millennial que ha transitado de crisis en crisis y ha decidido priorizar el placer, la familia y la creatividad como respuesta vital. Este perfil busca diversión significativa, wellness que no sea performativo y espacios donde se pueda jugar, compartir y desconectar. Su zona clave del hogar es el salón-comedor, reconvertido en centro de gravedad emocional y social. Colores vibrantes, materiales suaves, diseño versátil y objetos que invitan al juego marcan sus elecciones. Son consumidores de marcas optimistas, con sentido del humor y productos que integran bienestar, diseño y comunidad.</w:t>
      </w:r>
    </w:p>
    <w:p w:rsidR="00000000" w:rsidDel="00000000" w:rsidP="00000000" w:rsidRDefault="00000000" w:rsidRPr="00000000" w14:paraId="00000004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  <w:t xml:space="preserve">The Fixer encarna a la generación X que ha llegado a la madurez con pragmatismo, pero también con una renovada exigencia ética. Ha vivido demasiados cambios como para creer en soluciones fáciles, y ahora busca claridad, coherencia y funcionalidad con propósito. Este perfil valora el diseño que acompaña, no el que decora: materiales duraderos, tecnología invisible, ergonomía silenciosa. El baño es su espacio clave, entendido como laboratorio de autocuidado: aquí el bienestar es medible, no aspiracional. The Fixer compra poco, pero compra bien. Y valora profundamente las marcas que le devuelven control, orden y confianza.</w:t>
      </w:r>
    </w:p>
    <w:p w:rsidR="00000000" w:rsidDel="00000000" w:rsidP="00000000" w:rsidRDefault="00000000" w:rsidRPr="00000000" w14:paraId="00000005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  <w:t xml:space="preserve">The Practical Hedonist rompe los estereotipos sobre el envejecimiento. Representa a la generación Boomer que, lejos de retirarse, ha decidido vivir mejor, más tiempo y en sus propios términos. Con el mayor poder adquisitivo del mercado, este consumidor busca calidad de vida sin renunciar al goce: ya no cuida a nadie más que a sí mismo, y por eso celebra, cocina, viaja y se cuida sin culpa ni presión. Su espacio clave es la cocina, convertida en lugar de encuentro y disfrute. Invierte en accesorios bellos, funcionales y duraderos, y prefiere marcas que entienden el lujo como experiencia, no como ostentación.</w:t>
      </w:r>
    </w:p>
    <w:p w:rsidR="00000000" w:rsidDel="00000000" w:rsidP="00000000" w:rsidRDefault="00000000" w:rsidRPr="00000000" w14:paraId="00000006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  <w:t xml:space="preserve">Con este informe, Futurea y Ambit pone de manifiesto que diseñar hoy no es responder a una estética, sino a una emoción. Cada perfil es una invitación a repensar cómo nos relacionamos con los objetos, los espacios y las marcas. Porque en 2025, el diseño que no conecta, no funciona.</w:t>
      </w:r>
    </w:p>
    <w:p w:rsidR="00000000" w:rsidDel="00000000" w:rsidP="00000000" w:rsidRDefault="00000000" w:rsidRPr="00000000" w14:paraId="00000007">
      <w:pPr>
        <w:shd w:fill="ffffff" w:val="clear"/>
        <w:spacing w:after="160" w:lineRule="auto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